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0"/>
        <w:gridCol w:w="4686"/>
      </w:tblGrid>
      <w:tr w:rsidR="00D62911" w:rsidTr="00D62911">
        <w:tc>
          <w:tcPr>
            <w:tcW w:w="6498" w:type="dxa"/>
          </w:tcPr>
          <w:p w:rsidR="008228A2" w:rsidRPr="008228A2" w:rsidRDefault="008228A2" w:rsidP="008228A2">
            <w:pPr>
              <w:rPr>
                <w:rFonts w:ascii="Arial" w:eastAsia="SimSun" w:hAnsi="Arial" w:cs="Arial"/>
                <w:b/>
                <w:i/>
                <w:snapToGrid/>
                <w:color w:val="365F91"/>
                <w:sz w:val="48"/>
                <w:szCs w:val="48"/>
                <w:lang w:val="es-ES"/>
              </w:rPr>
            </w:pPr>
            <w:r w:rsidRPr="008228A2">
              <w:rPr>
                <w:rFonts w:ascii="Arial" w:eastAsia="SimSun" w:hAnsi="Arial" w:cs="Arial"/>
                <w:b/>
                <w:i/>
                <w:snapToGrid/>
                <w:color w:val="365F91"/>
                <w:sz w:val="48"/>
                <w:szCs w:val="48"/>
                <w:lang w:val="es-ES"/>
              </w:rPr>
              <w:t>La gripe</w:t>
            </w:r>
          </w:p>
          <w:p w:rsidR="008228A2" w:rsidRPr="00915B55" w:rsidRDefault="008228A2" w:rsidP="008228A2">
            <w:pPr>
              <w:rPr>
                <w:rFonts w:ascii="Arial" w:hAnsi="Arial" w:cs="Arial"/>
                <w:b/>
                <w:i/>
                <w:color w:val="365F91"/>
                <w:sz w:val="21"/>
                <w:szCs w:val="21"/>
                <w:lang w:val="es-ES"/>
              </w:rPr>
            </w:pPr>
          </w:p>
          <w:p w:rsidR="008228A2" w:rsidRPr="00915B55" w:rsidRDefault="008228A2" w:rsidP="008228A2">
            <w:pPr>
              <w:shd w:val="clear" w:color="auto" w:fill="FFFFFF"/>
              <w:ind w:left="154"/>
              <w:rPr>
                <w:rFonts w:ascii="Calibri" w:hAnsi="Calibri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La influenza, más comúnmente conocida como gripe, es una enfermedad contagiosa causada por un virus que afecta la parte superior del aparato respiratorio (nariz, boca, senos paranasales y garganta). El virus de la gripe se propaga fácilmente de una persona a otra y puede vivir en una superficie durante horas. La temporada de gripe tiene lugar todos los años desde octubre hasta mayo, y afecta hasta un 20%de la población de los Estados Unidos.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Calibri" w:hAnsi="Calibri"/>
                <w:color w:val="400011"/>
                <w:spacing w:val="2"/>
                <w:sz w:val="21"/>
                <w:szCs w:val="21"/>
                <w:lang w:val="es-ES"/>
              </w:rPr>
            </w:pPr>
          </w:p>
          <w:p w:rsidR="008228A2" w:rsidRP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8228A2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Síntomas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Fiebre alta (100º F y más)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Tos seca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Dolor de garganta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Molestia o dolor muscular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Goteo y congestión nasal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Dolor de cabeza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Falta de energía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pacing w:val="3"/>
                <w:sz w:val="21"/>
                <w:szCs w:val="21"/>
                <w:lang w:val="es-ES"/>
              </w:rPr>
              <w:t>Puede causar diarrea, náuseas y vómitos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8228A2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Posibles complicaciones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Infección de oído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Infección de senos paranasales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Deshidratación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Neumonía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7B0E1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7B0E15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Propagación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Calibri" w:hAnsi="Calibri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sz w:val="21"/>
                <w:szCs w:val="21"/>
                <w:lang w:val="es-ES"/>
              </w:rPr>
              <w:t>La gripe se propaga fácilmente de una persona a otra.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Calibri" w:hAnsi="Calibri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sz w:val="21"/>
                <w:szCs w:val="21"/>
                <w:lang w:val="es-ES"/>
              </w:rPr>
              <w:t>Se puede “pescar” al: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Respirar gotas con el virus de la gripe que están suspendidas en el aire, provenientes del estornudo o la tos de otra persona.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720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Tocar superficies contaminadas con el virus (mesas, manillas de puertas, teléfonos) y luego tocarse la nariz, la boca o los ojos con las manos contaminadas con el virus.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7B0E1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7B0E15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Prevención</w:t>
            </w:r>
          </w:p>
          <w:p w:rsidR="008228A2" w:rsidRPr="00915B55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1"/>
                <w:szCs w:val="21"/>
                <w:lang w:val="es-ES" w:eastAsia="zh-CN"/>
              </w:rPr>
            </w:pP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Colóquese la vacuna anual contra la gripe en el otoño antes de que comience la temporada de gripe.</w:t>
            </w:r>
          </w:p>
          <w:p w:rsidR="008228A2" w:rsidRPr="00915B5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915B5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Manténgase a una distancia entre 3 y 6 pies de las personas enfermas.</w:t>
            </w:r>
          </w:p>
          <w:p w:rsidR="00D62911" w:rsidRPr="00D62911" w:rsidRDefault="00D62911" w:rsidP="001E7AEC">
            <w:pPr>
              <w:pStyle w:val="ListParagraph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410" w:type="dxa"/>
          </w:tcPr>
          <w:p w:rsidR="00D62911" w:rsidRDefault="00F1006F" w:rsidP="00D62911">
            <w:pPr>
              <w:jc w:val="right"/>
            </w:pPr>
            <w:r>
              <w:rPr>
                <w:noProof/>
                <w:snapToGrid/>
                <w:lang w:eastAsia="en-US"/>
              </w:rPr>
              <w:drawing>
                <wp:anchor distT="0" distB="0" distL="0" distR="0" simplePos="0" relativeHeight="251658240" behindDoc="1" locked="0" layoutInCell="1" allowOverlap="1" wp14:anchorId="6FFD624C" wp14:editId="66B0FFE8">
                  <wp:simplePos x="0" y="0"/>
                  <wp:positionH relativeFrom="margin">
                    <wp:posOffset>54610</wp:posOffset>
                  </wp:positionH>
                  <wp:positionV relativeFrom="paragraph">
                    <wp:posOffset>107315</wp:posOffset>
                  </wp:positionV>
                  <wp:extent cx="2816860" cy="4759960"/>
                  <wp:effectExtent l="19050" t="0" r="2540" b="0"/>
                  <wp:wrapThrough wrapText="bothSides">
                    <wp:wrapPolygon edited="0">
                      <wp:start x="-146" y="0"/>
                      <wp:lineTo x="-146" y="21525"/>
                      <wp:lineTo x="21619" y="21525"/>
                      <wp:lineTo x="21619" y="0"/>
                      <wp:lineTo x="-146" y="0"/>
                    </wp:wrapPolygon>
                  </wp:wrapThrough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860" cy="4759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D1EBB" w:rsidRDefault="005D1EBB"/>
    <w:p w:rsidR="00D62911" w:rsidRDefault="00F30C2D" w:rsidP="009332B3">
      <w:pPr>
        <w:rPr>
          <w:sz w:val="8"/>
          <w:szCs w:val="8"/>
        </w:rPr>
      </w:pPr>
      <w:r>
        <w:rPr>
          <w:noProof/>
          <w:snapToGrid/>
          <w:sz w:val="8"/>
          <w:szCs w:val="8"/>
          <w:lang w:eastAsia="en-US"/>
        </w:rPr>
        <w:drawing>
          <wp:anchor distT="0" distB="0" distL="114300" distR="114300" simplePos="0" relativeHeight="251664384" behindDoc="1" locked="0" layoutInCell="1" allowOverlap="1" wp14:anchorId="1103CFDF" wp14:editId="5A4A5BC0">
            <wp:simplePos x="0" y="0"/>
            <wp:positionH relativeFrom="column">
              <wp:posOffset>5073650</wp:posOffset>
            </wp:positionH>
            <wp:positionV relativeFrom="paragraph">
              <wp:posOffset>521970</wp:posOffset>
            </wp:positionV>
            <wp:extent cx="1918335" cy="680720"/>
            <wp:effectExtent l="0" t="0" r="0" b="0"/>
            <wp:wrapThrough wrapText="bothSides">
              <wp:wrapPolygon edited="0">
                <wp:start x="5362" y="0"/>
                <wp:lineTo x="3432" y="2418"/>
                <wp:lineTo x="214" y="9067"/>
                <wp:lineTo x="0" y="11485"/>
                <wp:lineTo x="0" y="12694"/>
                <wp:lineTo x="8365" y="19343"/>
                <wp:lineTo x="8365" y="21157"/>
                <wp:lineTo x="21450" y="21157"/>
                <wp:lineTo x="21450" y="6045"/>
                <wp:lineTo x="8794" y="0"/>
                <wp:lineTo x="5362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riLife logo-transparent (color with slogan) - for PPT fil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sz w:val="8"/>
          <w:szCs w:val="8"/>
          <w:lang w:eastAsia="en-US"/>
        </w:rPr>
        <w:drawing>
          <wp:anchor distT="0" distB="0" distL="114300" distR="114300" simplePos="0" relativeHeight="251661312" behindDoc="0" locked="0" layoutInCell="1" allowOverlap="1" wp14:anchorId="22CC37D1" wp14:editId="0F860846">
            <wp:simplePos x="0" y="0"/>
            <wp:positionH relativeFrom="column">
              <wp:posOffset>5577840</wp:posOffset>
            </wp:positionH>
            <wp:positionV relativeFrom="paragraph">
              <wp:posOffset>8941435</wp:posOffset>
            </wp:positionV>
            <wp:extent cx="1706880" cy="606425"/>
            <wp:effectExtent l="0" t="0" r="0" b="0"/>
            <wp:wrapNone/>
            <wp:docPr id="8" name="Picture 8" descr="AgriLife logo-transparent (color with slogan) - for PPT f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griLife logo-transparent (color with slogan) - for PPT fil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sz w:val="8"/>
          <w:szCs w:val="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.2pt;margin-top:73.8pt;width:398.4pt;height:0;z-index:251660288;mso-position-horizontal-relative:text;mso-position-vertical-relative:text" o:connectortype="straight" strokecolor="#a5a5a5" strokeweight="1.5pt"/>
        </w:pict>
      </w:r>
      <w:r>
        <w:rPr>
          <w:noProof/>
          <w:snapToGrid/>
          <w:sz w:val="8"/>
          <w:szCs w:val="8"/>
          <w:lang w:eastAsia="en-US"/>
        </w:rPr>
        <w:drawing>
          <wp:anchor distT="0" distB="0" distL="114300" distR="114300" simplePos="0" relativeHeight="251659264" behindDoc="0" locked="0" layoutInCell="1" allowOverlap="1" wp14:anchorId="23F81383" wp14:editId="7F115743">
            <wp:simplePos x="0" y="0"/>
            <wp:positionH relativeFrom="column">
              <wp:posOffset>5577840</wp:posOffset>
            </wp:positionH>
            <wp:positionV relativeFrom="paragraph">
              <wp:posOffset>8941435</wp:posOffset>
            </wp:positionV>
            <wp:extent cx="1706880" cy="606425"/>
            <wp:effectExtent l="0" t="0" r="0" b="0"/>
            <wp:wrapNone/>
            <wp:docPr id="7" name="Picture 7" descr="AgriLife logo-transparent (color with slogan) - for PPT f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griLife logo-transparent (color with slogan) - for PPT fil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911">
        <w:rPr>
          <w:sz w:val="8"/>
          <w:szCs w:val="8"/>
        </w:rPr>
        <w:br w:type="page"/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8388"/>
      </w:tblGrid>
      <w:tr w:rsidR="00D62911" w:rsidTr="00D62911">
        <w:tc>
          <w:tcPr>
            <w:tcW w:w="2628" w:type="dxa"/>
          </w:tcPr>
          <w:p w:rsidR="00D62911" w:rsidRDefault="00D62911" w:rsidP="00D62911">
            <w:r>
              <w:rPr>
                <w:noProof/>
                <w:snapToGrid/>
                <w:lang w:eastAsia="en-US"/>
              </w:rPr>
              <w:lastRenderedPageBreak/>
              <w:drawing>
                <wp:inline distT="0" distB="0" distL="0" distR="0">
                  <wp:extent cx="1447054" cy="1869141"/>
                  <wp:effectExtent l="19050" t="0" r="746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119" cy="186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8" w:type="dxa"/>
          </w:tcPr>
          <w:p w:rsidR="00D62911" w:rsidRPr="007B14C2" w:rsidRDefault="00D62911" w:rsidP="00D62911">
            <w:pPr>
              <w:shd w:val="clear" w:color="auto" w:fill="FFFFFF"/>
              <w:ind w:left="158"/>
              <w:jc w:val="both"/>
              <w:rPr>
                <w:rFonts w:ascii="Arial" w:eastAsia="Times New Roman" w:hAnsi="Arial" w:cs="Arial"/>
                <w:b/>
                <w:snapToGrid/>
                <w:color w:val="400011"/>
                <w:spacing w:val="2"/>
                <w:sz w:val="4"/>
                <w:szCs w:val="4"/>
                <w:lang w:val="es-ES" w:eastAsia="zh-CN"/>
              </w:rPr>
            </w:pP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No bese ni abrace a otras personas hasta que mejore.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Permanezca en el hogar si está enfermo.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972" w:hanging="270"/>
              <w:rPr>
                <w:rFonts w:asciiTheme="minorHAnsi" w:hAnsiTheme="minorHAnsi" w:cstheme="minorHAnsi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No regrese a la escuela ni al trabajo hasta que la fiebre esté por debajo de 100º F durante 24 horas como mínimo sin tomar medicamentos para bajar la fiebre.*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Lávese las manos frecuentemente con jabón y agua tibia durante 20 segundos, o bien, si no hay agua disponible, utilice un desinfectante para manos a base de alcohol.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Mantenga las manos alejadas de los ojos, la nariz y la boca.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Refuerce su sistema inmunológico con hábitos de vida saludables.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972" w:hanging="270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Implemente</w:t>
            </w:r>
            <w:r w:rsidRPr="007B0E15">
              <w:rPr>
                <w:rFonts w:asciiTheme="minorHAnsi" w:hAnsiTheme="minorHAnsi" w:cstheme="minorHAnsi"/>
                <w:color w:val="000000"/>
                <w:spacing w:val="3"/>
                <w:sz w:val="21"/>
                <w:szCs w:val="21"/>
                <w:lang w:val="es-ES"/>
              </w:rPr>
              <w:t xml:space="preserve"> una dieta balanceada con una buena cantidad de frutas y verduras.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972" w:hanging="270"/>
              <w:rPr>
                <w:rFonts w:asciiTheme="minorHAnsi" w:hAnsiTheme="minorHAnsi" w:cstheme="minorHAnsi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Descanse</w:t>
            </w:r>
            <w:r w:rsidRPr="007B0E15">
              <w:rPr>
                <w:rFonts w:asciiTheme="minorHAnsi" w:hAnsiTheme="minorHAnsi" w:cstheme="minorHAnsi"/>
                <w:color w:val="000000"/>
                <w:spacing w:val="3"/>
                <w:sz w:val="21"/>
                <w:szCs w:val="21"/>
                <w:lang w:val="es-ES"/>
              </w:rPr>
              <w:t xml:space="preserve"> mucho. Duerma entre 7 y 8 horas por noche como mínimo.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972" w:hanging="270"/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pacing w:val="3"/>
                <w:sz w:val="21"/>
                <w:szCs w:val="21"/>
                <w:lang w:val="es-ES"/>
              </w:rPr>
              <w:t>Haga ejercicio en forma regular ─ al menos 30 minutos de actividad física la mayoría de los días de la semana.</w:t>
            </w:r>
          </w:p>
          <w:p w:rsidR="008228A2" w:rsidRPr="001E7AEC" w:rsidRDefault="008228A2" w:rsidP="008228A2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line="240" w:lineRule="exact"/>
              <w:ind w:left="972" w:hanging="270"/>
              <w:rPr>
                <w:rFonts w:ascii="Calibri" w:hAnsi="Calibri" w:cs="Arial"/>
                <w:color w:val="000000"/>
                <w:spacing w:val="1"/>
                <w:sz w:val="21"/>
                <w:szCs w:val="21"/>
                <w:lang w:val="es-ES"/>
              </w:rPr>
            </w:pPr>
            <w:r w:rsidRPr="007B0E15">
              <w:rPr>
                <w:rFonts w:asciiTheme="minorHAnsi" w:hAnsiTheme="minorHAnsi" w:cstheme="minorHAnsi"/>
                <w:color w:val="000000"/>
                <w:spacing w:val="1"/>
                <w:sz w:val="21"/>
                <w:szCs w:val="21"/>
                <w:lang w:val="es-ES"/>
              </w:rPr>
              <w:t xml:space="preserve">Reduzca su </w:t>
            </w:r>
            <w:r w:rsidRPr="007B0E15">
              <w:rPr>
                <w:rFonts w:asciiTheme="minorHAnsi" w:hAnsiTheme="minorHAnsi" w:cstheme="minorHAnsi"/>
                <w:color w:val="000000"/>
                <w:sz w:val="21"/>
                <w:szCs w:val="21"/>
                <w:lang w:val="es-ES"/>
              </w:rPr>
              <w:t>nivel</w:t>
            </w:r>
            <w:r w:rsidRPr="007B0E15">
              <w:rPr>
                <w:rFonts w:asciiTheme="minorHAnsi" w:hAnsiTheme="minorHAnsi" w:cstheme="minorHAnsi"/>
                <w:color w:val="000000"/>
                <w:spacing w:val="1"/>
                <w:sz w:val="21"/>
                <w:szCs w:val="21"/>
                <w:lang w:val="es-ES"/>
              </w:rPr>
              <w:t xml:space="preserve"> diario de estrés.</w:t>
            </w:r>
          </w:p>
          <w:p w:rsidR="008228A2" w:rsidRDefault="008228A2" w:rsidP="008228A2">
            <w:pPr>
              <w:shd w:val="clear" w:color="auto" w:fill="FFFFFF"/>
              <w:rPr>
                <w:rFonts w:ascii="Arial" w:hAnsi="Arial" w:cs="Arial"/>
                <w:b/>
                <w:color w:val="400011"/>
                <w:spacing w:val="2"/>
                <w:sz w:val="4"/>
                <w:szCs w:val="4"/>
                <w:lang w:val="es-ES" w:eastAsia="zh-CN"/>
              </w:rPr>
            </w:pP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DD493C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Tratamiento en el hogar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Permanezca en el hogar y descanse.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Tome mucho líquido (agua, jugos, bebidas con electrolitos).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Tome medicamentos de venta libre para aliviar los síntomas.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Los medicamentos antivirales están disponibles con prescripción médica. **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color w:val="000000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Utilice un humidificador a vapor frío. Límpielo con regularidad siguiendo las instrucciones del manual para evitar la formación de moho.</w:t>
            </w:r>
          </w:p>
          <w:p w:rsidR="008228A2" w:rsidRPr="007B0E15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1"/>
                <w:szCs w:val="21"/>
                <w:lang w:val="es-ES"/>
              </w:rPr>
            </w:pP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 xml:space="preserve">Busque consejos en una guía para atención en el hogar, como el </w:t>
            </w:r>
            <w:r w:rsidRPr="007B0E15">
              <w:rPr>
                <w:rFonts w:ascii="Calibri" w:hAnsi="Calibri"/>
                <w:i/>
                <w:color w:val="000000"/>
                <w:sz w:val="21"/>
                <w:szCs w:val="21"/>
                <w:lang w:val="es-ES"/>
              </w:rPr>
              <w:t xml:space="preserve">Manual </w:t>
            </w:r>
            <w:proofErr w:type="spellStart"/>
            <w:r w:rsidRPr="007B0E15">
              <w:rPr>
                <w:rFonts w:ascii="Calibri" w:hAnsi="Calibri"/>
                <w:i/>
                <w:color w:val="000000"/>
                <w:sz w:val="21"/>
                <w:szCs w:val="21"/>
                <w:lang w:val="es-ES"/>
              </w:rPr>
              <w:t>Healthwise</w:t>
            </w:r>
            <w:proofErr w:type="spellEnd"/>
            <w:r w:rsidRPr="007B0E15">
              <w:rPr>
                <w:rFonts w:ascii="Calibri" w:hAnsi="Calibri"/>
                <w:i/>
                <w:color w:val="000000"/>
                <w:sz w:val="21"/>
                <w:szCs w:val="21"/>
                <w:lang w:val="es-ES"/>
              </w:rPr>
              <w:t>.</w:t>
            </w:r>
            <w:r w:rsidR="00CD4905">
              <w:rPr>
                <w:rFonts w:ascii="Calibri" w:hAnsi="Calibri"/>
                <w:i/>
                <w:color w:val="000000"/>
                <w:sz w:val="21"/>
                <w:szCs w:val="21"/>
                <w:lang w:val="es-ES"/>
              </w:rPr>
              <w:t> </w:t>
            </w:r>
            <w:r w:rsidRPr="007B0E15">
              <w:rPr>
                <w:rFonts w:ascii="Calibri" w:hAnsi="Calibri"/>
                <w:color w:val="000000"/>
                <w:sz w:val="21"/>
                <w:szCs w:val="21"/>
                <w:lang w:val="es-ES"/>
              </w:rPr>
              <w:t>***</w:t>
            </w:r>
            <w:r w:rsidRPr="007B0E15">
              <w:rPr>
                <w:rFonts w:ascii="Calibri" w:hAnsi="Calibri"/>
                <w:sz w:val="21"/>
                <w:szCs w:val="21"/>
                <w:lang w:val="es-ES"/>
              </w:rPr>
              <w:t xml:space="preserve"> </w:t>
            </w: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4"/>
                <w:szCs w:val="4"/>
                <w:lang w:val="es-ES" w:eastAsia="zh-CN"/>
              </w:rPr>
            </w:pP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</w:pPr>
            <w:r w:rsidRPr="00DD493C">
              <w:rPr>
                <w:rFonts w:ascii="Arial" w:hAnsi="Arial" w:cs="Arial"/>
                <w:b/>
                <w:color w:val="400011"/>
                <w:spacing w:val="2"/>
                <w:sz w:val="24"/>
                <w:szCs w:val="24"/>
                <w:lang w:val="es-ES" w:eastAsia="zh-CN"/>
              </w:rPr>
              <w:t>Consulte a su médico si…</w:t>
            </w:r>
          </w:p>
          <w:p w:rsidR="008228A2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>Un niño de corta edad, una mujer embarazada, un anciano o alguien que sufre una afección crónica contrae gripe. Estas personas presentan elevadas posibilidades de sufrir sus complicaciones.</w:t>
            </w:r>
          </w:p>
          <w:p w:rsidR="008228A2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>Sufre rigidez de cuello junto con fiebre.</w:t>
            </w:r>
          </w:p>
          <w:p w:rsidR="008228A2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>Se presentan complicaciones</w:t>
            </w:r>
            <w:r>
              <w:rPr>
                <w:rFonts w:ascii="Calibri" w:hAnsi="Calibri"/>
                <w:sz w:val="22"/>
                <w:szCs w:val="22"/>
                <w:lang w:val="es-ES"/>
              </w:rPr>
              <w:t>,</w:t>
            </w: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 xml:space="preserve"> como dificultad para respirar o signos que indican deshidratación.</w:t>
            </w:r>
          </w:p>
          <w:p w:rsidR="008228A2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>Los síntomas se agravan día a día.</w:t>
            </w:r>
          </w:p>
          <w:p w:rsidR="008228A2" w:rsidRDefault="008228A2" w:rsidP="008228A2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  <w:r w:rsidRPr="00DD493C">
              <w:rPr>
                <w:rFonts w:ascii="Calibri" w:hAnsi="Calibri"/>
                <w:sz w:val="22"/>
                <w:szCs w:val="22"/>
                <w:lang w:val="es-ES"/>
              </w:rPr>
              <w:t>Está preocupado y necesita consejos.</w:t>
            </w: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b/>
                <w:color w:val="400011"/>
                <w:spacing w:val="2"/>
                <w:sz w:val="4"/>
                <w:szCs w:val="4"/>
                <w:lang w:val="es-ES" w:eastAsia="zh-CN"/>
              </w:rPr>
            </w:pPr>
          </w:p>
          <w:p w:rsidR="008228A2" w:rsidRDefault="008228A2" w:rsidP="00D679BD">
            <w:pPr>
              <w:pStyle w:val="ListParagraph"/>
              <w:shd w:val="clear" w:color="auto" w:fill="FFFFFF"/>
              <w:rPr>
                <w:rFonts w:ascii="Calibri" w:hAnsi="Calibri"/>
                <w:sz w:val="22"/>
                <w:szCs w:val="22"/>
                <w:lang w:val="es-ES"/>
              </w:rPr>
            </w:pPr>
          </w:p>
          <w:p w:rsidR="008228A2" w:rsidRDefault="008228A2" w:rsidP="008228A2">
            <w:pPr>
              <w:pStyle w:val="ListParagraph"/>
              <w:shd w:val="clear" w:color="auto" w:fill="FFFFFF"/>
              <w:rPr>
                <w:rFonts w:ascii="Calibri" w:hAnsi="Calibri"/>
                <w:sz w:val="8"/>
                <w:szCs w:val="8"/>
                <w:lang w:val="es-ES"/>
              </w:rPr>
            </w:pP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s-ES"/>
              </w:rPr>
            </w:pPr>
            <w:r w:rsidRPr="00DD493C"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 xml:space="preserve">* Entre los medicamentos </w:t>
            </w:r>
            <w:r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>para bajar la fiebre</w:t>
            </w:r>
            <w:r w:rsidRPr="00DD493C"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 xml:space="preserve"> se encuentran el paracetamol (</w:t>
            </w:r>
            <w:proofErr w:type="spellStart"/>
            <w:r w:rsidRPr="00DD493C"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>Tylenol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 xml:space="preserve"> o una</w:t>
            </w:r>
            <w:r w:rsidRPr="00DD493C"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 xml:space="preserve"> marca genérica), el ibuprofeno (</w:t>
            </w:r>
            <w:proofErr w:type="spellStart"/>
            <w:r w:rsidRPr="00DD493C"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>Advil</w:t>
            </w:r>
            <w:proofErr w:type="spellEnd"/>
            <w:r w:rsidRPr="00DD493C"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D493C"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>Motrin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 xml:space="preserve"> o una</w:t>
            </w:r>
            <w:r w:rsidRPr="00DD493C">
              <w:rPr>
                <w:rFonts w:ascii="Arial" w:hAnsi="Arial" w:cs="Arial"/>
                <w:i/>
                <w:color w:val="000000"/>
                <w:spacing w:val="-4"/>
                <w:sz w:val="18"/>
                <w:szCs w:val="18"/>
                <w:lang w:val="es-ES"/>
              </w:rPr>
              <w:t xml:space="preserve"> marca genérica) y la aspirina.</w:t>
            </w:r>
            <w:r w:rsidRPr="00DD493C">
              <w:rPr>
                <w:rFonts w:ascii="Arial" w:hAnsi="Arial" w:cs="Arial"/>
                <w:i/>
                <w:iCs/>
                <w:color w:val="000000"/>
                <w:spacing w:val="-4"/>
                <w:sz w:val="18"/>
                <w:szCs w:val="18"/>
                <w:lang w:val="es-ES"/>
              </w:rPr>
              <w:t xml:space="preserve"> </w:t>
            </w:r>
            <w:r w:rsidRPr="00DD493C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s-ES"/>
              </w:rPr>
              <w:t>No administre aspirina a personas menores de 20 años de edad por el riesgo de contraer el síndrome de Reye, una enfermedad poco frecuente, pero muy grave.</w:t>
            </w:r>
          </w:p>
          <w:p w:rsidR="008228A2" w:rsidRDefault="008228A2" w:rsidP="008228A2">
            <w:pPr>
              <w:shd w:val="clear" w:color="auto" w:fill="FFFFFF"/>
              <w:ind w:left="158"/>
              <w:rPr>
                <w:rFonts w:ascii="Arial" w:hAnsi="Arial" w:cs="Arial"/>
                <w:sz w:val="6"/>
                <w:szCs w:val="6"/>
                <w:lang w:val="es-ES"/>
              </w:rPr>
            </w:pPr>
          </w:p>
          <w:p w:rsidR="008228A2" w:rsidRDefault="008228A2" w:rsidP="008228A2">
            <w:pPr>
              <w:shd w:val="clear" w:color="auto" w:fill="FFFFFF"/>
              <w:ind w:left="158" w:right="576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DD493C">
              <w:rPr>
                <w:rFonts w:ascii="Arial" w:hAnsi="Arial" w:cs="Arial"/>
                <w:color w:val="000000"/>
                <w:spacing w:val="-4"/>
                <w:sz w:val="18"/>
                <w:szCs w:val="18"/>
                <w:lang w:val="es-ES"/>
              </w:rPr>
              <w:t xml:space="preserve">** Para que los medicamentos antivirales sean eficaces, tómelos dentro de las 48 horas </w:t>
            </w:r>
            <w:r>
              <w:rPr>
                <w:rFonts w:ascii="Arial" w:hAnsi="Arial" w:cs="Arial"/>
                <w:color w:val="000000"/>
                <w:spacing w:val="-4"/>
                <w:sz w:val="18"/>
                <w:szCs w:val="18"/>
                <w:lang w:val="es-ES"/>
              </w:rPr>
              <w:t>siguientes a</w:t>
            </w:r>
            <w:r w:rsidRPr="00DD493C">
              <w:rPr>
                <w:rFonts w:ascii="Arial" w:hAnsi="Arial" w:cs="Arial"/>
                <w:color w:val="000000"/>
                <w:spacing w:val="-4"/>
                <w:sz w:val="18"/>
                <w:szCs w:val="18"/>
                <w:lang w:val="es-ES"/>
              </w:rPr>
              <w:t xml:space="preserve"> la aparición de los síntomas. </w:t>
            </w:r>
            <w:r w:rsidRPr="00DD493C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Los medicamentos antivirales están recomendados para personas con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un </w:t>
            </w:r>
            <w:r w:rsidRPr="00DD493C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alto riesgo de sufrir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las </w:t>
            </w:r>
            <w:r w:rsidRPr="00DD493C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complicaciones de la gripe.</w:t>
            </w:r>
          </w:p>
          <w:p w:rsidR="008228A2" w:rsidRDefault="008228A2" w:rsidP="008228A2">
            <w:pPr>
              <w:shd w:val="clear" w:color="auto" w:fill="FFFFFF"/>
              <w:ind w:left="158" w:right="576"/>
              <w:rPr>
                <w:rFonts w:ascii="Arial" w:hAnsi="Arial" w:cs="Arial"/>
                <w:sz w:val="4"/>
                <w:szCs w:val="4"/>
                <w:lang w:val="es-ES"/>
              </w:rPr>
            </w:pPr>
          </w:p>
          <w:p w:rsidR="008228A2" w:rsidRDefault="008228A2" w:rsidP="008228A2">
            <w:pPr>
              <w:pStyle w:val="ListParagraph"/>
              <w:shd w:val="clear" w:color="auto" w:fill="FFFFFF"/>
              <w:ind w:left="158"/>
              <w:rPr>
                <w:rFonts w:ascii="Calibri" w:hAnsi="Calibri"/>
                <w:i/>
                <w:sz w:val="18"/>
                <w:szCs w:val="18"/>
                <w:lang w:val="es-ES"/>
              </w:rPr>
            </w:pPr>
            <w:r w:rsidRPr="00DD493C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s-ES"/>
              </w:rPr>
              <w:t xml:space="preserve">*** </w:t>
            </w:r>
            <w:r w:rsidRPr="00DD493C">
              <w:rPr>
                <w:rFonts w:ascii="Arial" w:hAnsi="Arial" w:cs="Arial"/>
                <w:iCs/>
                <w:color w:val="000000"/>
                <w:spacing w:val="-3"/>
                <w:sz w:val="18"/>
                <w:szCs w:val="18"/>
                <w:lang w:val="es-ES"/>
              </w:rPr>
              <w:t xml:space="preserve">El </w:t>
            </w:r>
            <w:r w:rsidRPr="00CF2A49">
              <w:rPr>
                <w:rFonts w:ascii="Arial" w:hAnsi="Arial" w:cs="Arial"/>
                <w:i/>
                <w:iCs/>
                <w:color w:val="000000"/>
                <w:spacing w:val="-3"/>
                <w:sz w:val="18"/>
                <w:szCs w:val="18"/>
                <w:lang w:val="es-ES"/>
              </w:rPr>
              <w:t>Manual</w:t>
            </w:r>
            <w:r w:rsidRPr="00DD493C">
              <w:rPr>
                <w:rFonts w:ascii="Arial" w:hAnsi="Arial" w:cs="Arial"/>
                <w:i/>
                <w:iCs/>
                <w:color w:val="000000"/>
                <w:spacing w:val="-3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D493C">
              <w:rPr>
                <w:rFonts w:ascii="Arial" w:hAnsi="Arial" w:cs="Arial"/>
                <w:i/>
                <w:iCs/>
                <w:color w:val="000000"/>
                <w:spacing w:val="-3"/>
                <w:sz w:val="18"/>
                <w:szCs w:val="18"/>
                <w:lang w:val="es-ES"/>
              </w:rPr>
              <w:t>Healthwise</w:t>
            </w:r>
            <w:proofErr w:type="spellEnd"/>
            <w:r w:rsidRPr="00DD493C">
              <w:rPr>
                <w:rFonts w:ascii="Arial" w:hAnsi="Arial" w:cs="Arial"/>
                <w:i/>
                <w:iCs/>
                <w:color w:val="000000"/>
                <w:spacing w:val="-3"/>
                <w:sz w:val="18"/>
                <w:szCs w:val="18"/>
                <w:lang w:val="es-ES"/>
              </w:rPr>
              <w:t xml:space="preserve"> </w:t>
            </w:r>
            <w:r w:rsidRPr="00DD493C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s-ES"/>
              </w:rPr>
              <w:t xml:space="preserve">puede solicitarse en </w:t>
            </w:r>
            <w:r w:rsidRPr="003E6DDD">
              <w:rPr>
                <w:rFonts w:ascii="Arial" w:hAnsi="Arial" w:cs="Arial"/>
                <w:color w:val="800000"/>
                <w:spacing w:val="-3"/>
                <w:sz w:val="18"/>
                <w:szCs w:val="18"/>
                <w:lang w:val="es-ES"/>
              </w:rPr>
              <w:t>http://www.healthwise.org/f_bkorder.aspx</w:t>
            </w:r>
            <w:r w:rsidRPr="00DD493C">
              <w:rPr>
                <w:rFonts w:ascii="Arial" w:hAnsi="Arial" w:cs="Arial"/>
                <w:color w:val="400011"/>
                <w:spacing w:val="-3"/>
                <w:sz w:val="18"/>
                <w:szCs w:val="18"/>
                <w:lang w:val="es-ES"/>
              </w:rPr>
              <w:t xml:space="preserve"> </w:t>
            </w:r>
            <w:r w:rsidRPr="00DD493C">
              <w:rPr>
                <w:rFonts w:ascii="Arial" w:hAnsi="Arial" w:cs="Arial"/>
                <w:color w:val="000000"/>
                <w:spacing w:val="-3"/>
                <w:sz w:val="18"/>
                <w:szCs w:val="18"/>
                <w:lang w:val="es-ES"/>
              </w:rPr>
              <w:t>o llamando al número</w:t>
            </w:r>
            <w:r w:rsidRPr="00DD493C">
              <w:rPr>
                <w:rFonts w:ascii="Arial" w:hAnsi="Arial" w:cs="Arial"/>
                <w:color w:val="000000"/>
                <w:spacing w:val="-2"/>
                <w:sz w:val="18"/>
                <w:szCs w:val="18"/>
                <w:lang w:val="es-ES"/>
              </w:rPr>
              <w:t xml:space="preserve"> 1-800-706-9646.</w:t>
            </w:r>
          </w:p>
          <w:p w:rsidR="008228A2" w:rsidRDefault="008228A2" w:rsidP="008228A2">
            <w:pPr>
              <w:pStyle w:val="ListParagraph"/>
              <w:shd w:val="clear" w:color="auto" w:fill="FFFFFF"/>
              <w:rPr>
                <w:rFonts w:ascii="Calibri" w:hAnsi="Calibri"/>
                <w:sz w:val="4"/>
                <w:szCs w:val="4"/>
                <w:lang w:val="es-ES"/>
              </w:rPr>
            </w:pPr>
          </w:p>
          <w:p w:rsidR="008228A2" w:rsidRDefault="008228A2" w:rsidP="008228A2">
            <w:pPr>
              <w:pStyle w:val="ListParagraph"/>
              <w:shd w:val="clear" w:color="auto" w:fill="FFFFFF"/>
              <w:ind w:left="164"/>
              <w:rPr>
                <w:rFonts w:ascii="Calibri" w:hAnsi="Calibri"/>
                <w:sz w:val="19"/>
                <w:szCs w:val="19"/>
                <w:lang w:val="es-ES"/>
              </w:rPr>
            </w:pPr>
            <w:r w:rsidRPr="00DD493C">
              <w:rPr>
                <w:rFonts w:ascii="Calibri" w:hAnsi="Calibri"/>
                <w:sz w:val="19"/>
                <w:szCs w:val="19"/>
                <w:lang w:val="es-ES"/>
              </w:rPr>
              <w:t>Si desea obtener más información sobre la gripe, visite el sitio de Internet de la Red de Extensión de Educación en Desastres de Texas (</w:t>
            </w:r>
            <w:r w:rsidRPr="003E6DDD">
              <w:rPr>
                <w:rFonts w:ascii="Calibri" w:hAnsi="Calibri"/>
                <w:i/>
                <w:sz w:val="19"/>
                <w:szCs w:val="19"/>
              </w:rPr>
              <w:t>Texas Extension Disaster Education Network</w:t>
            </w:r>
            <w:r w:rsidRPr="00DD493C">
              <w:rPr>
                <w:rFonts w:ascii="Calibri" w:hAnsi="Calibri"/>
                <w:sz w:val="19"/>
                <w:szCs w:val="19"/>
                <w:lang w:val="es-ES"/>
              </w:rPr>
              <w:t xml:space="preserve">, EDEN) en </w:t>
            </w:r>
            <w:r w:rsidRPr="003E6DDD">
              <w:rPr>
                <w:rFonts w:ascii="Calibri" w:hAnsi="Calibri"/>
                <w:color w:val="800000"/>
                <w:sz w:val="19"/>
                <w:szCs w:val="19"/>
                <w:lang w:val="es-ES"/>
              </w:rPr>
              <w:t>texashelp.tamu.edu</w:t>
            </w:r>
            <w:r w:rsidRPr="00DD493C">
              <w:rPr>
                <w:rFonts w:ascii="Calibri" w:hAnsi="Calibri"/>
                <w:sz w:val="19"/>
                <w:szCs w:val="19"/>
                <w:lang w:val="es-ES"/>
              </w:rPr>
              <w:t>.</w:t>
            </w:r>
          </w:p>
          <w:p w:rsidR="008228A2" w:rsidRDefault="008228A2" w:rsidP="008228A2">
            <w:pPr>
              <w:pStyle w:val="ListParagraph"/>
              <w:shd w:val="clear" w:color="auto" w:fill="FFFFFF"/>
              <w:ind w:left="162"/>
              <w:rPr>
                <w:rFonts w:ascii="Calibri" w:hAnsi="Calibri"/>
                <w:sz w:val="4"/>
                <w:szCs w:val="4"/>
                <w:lang w:val="es-ES"/>
              </w:rPr>
            </w:pPr>
          </w:p>
          <w:p w:rsidR="008228A2" w:rsidRDefault="008228A2" w:rsidP="008228A2">
            <w:pPr>
              <w:pStyle w:val="ListParagraph"/>
              <w:shd w:val="clear" w:color="auto" w:fill="FFFFFF"/>
              <w:ind w:left="162"/>
              <w:rPr>
                <w:rFonts w:ascii="Calibri" w:hAnsi="Calibri"/>
                <w:sz w:val="16"/>
                <w:szCs w:val="16"/>
                <w:lang w:val="es-ES"/>
              </w:rPr>
            </w:pPr>
            <w:r w:rsidRPr="00DD493C">
              <w:rPr>
                <w:rFonts w:ascii="Calibri" w:hAnsi="Calibri"/>
                <w:sz w:val="16"/>
                <w:szCs w:val="16"/>
                <w:lang w:val="es-ES"/>
              </w:rPr>
              <w:t xml:space="preserve">Los programas educativos del Servicio AgriLife </w:t>
            </w:r>
            <w:proofErr w:type="spellStart"/>
            <w:r w:rsidRPr="00DD493C">
              <w:rPr>
                <w:rFonts w:ascii="Calibri" w:hAnsi="Calibri"/>
                <w:sz w:val="16"/>
                <w:szCs w:val="16"/>
                <w:lang w:val="es-ES"/>
              </w:rPr>
              <w:t>Extension</w:t>
            </w:r>
            <w:proofErr w:type="spellEnd"/>
            <w:r w:rsidRPr="00DD493C">
              <w:rPr>
                <w:rFonts w:ascii="Calibri" w:hAnsi="Calibri"/>
                <w:sz w:val="16"/>
                <w:szCs w:val="16"/>
                <w:lang w:val="es-ES"/>
              </w:rPr>
              <w:t xml:space="preserve"> de Texas están abiertos a todo el público, sin distinción de raza, color, sexo, discapacidad, religión, edad o procedencia. Sistema Universitario A&amp;M de Texas en colaboración con el Departamento de Agricultura de los Estados Unidos y los Tribunales de Comisionados del Condado de Texas</w:t>
            </w:r>
          </w:p>
          <w:p w:rsidR="009C73EE" w:rsidRDefault="009C73EE" w:rsidP="008228A2">
            <w:pPr>
              <w:pStyle w:val="ListParagraph"/>
              <w:shd w:val="clear" w:color="auto" w:fill="FFFFFF"/>
              <w:ind w:left="162"/>
              <w:rPr>
                <w:rFonts w:ascii="Calibri" w:hAnsi="Calibri"/>
                <w:sz w:val="16"/>
                <w:szCs w:val="16"/>
                <w:lang w:val="es-ES"/>
              </w:rPr>
            </w:pPr>
          </w:p>
          <w:tbl>
            <w:tblPr>
              <w:tblW w:w="0" w:type="auto"/>
              <w:tblInd w:w="162" w:type="dxa"/>
              <w:tblLook w:val="00A0" w:firstRow="1" w:lastRow="0" w:firstColumn="1" w:lastColumn="0" w:noHBand="0" w:noVBand="0"/>
            </w:tblPr>
            <w:tblGrid>
              <w:gridCol w:w="3515"/>
              <w:gridCol w:w="1345"/>
              <w:gridCol w:w="3150"/>
            </w:tblGrid>
            <w:tr w:rsidR="009C73EE" w:rsidRPr="00DD493C" w:rsidTr="006F7454">
              <w:tc>
                <w:tcPr>
                  <w:tcW w:w="3515" w:type="dxa"/>
                </w:tcPr>
                <w:p w:rsidR="009C73EE" w:rsidRDefault="009C73EE" w:rsidP="009C73EE">
                  <w:pPr>
                    <w:pStyle w:val="ListParagraph"/>
                    <w:ind w:left="-108"/>
                    <w:rPr>
                      <w:rFonts w:ascii="Calibri" w:hAnsi="Calibri"/>
                      <w:sz w:val="16"/>
                      <w:szCs w:val="16"/>
                      <w:lang w:val="es-ES"/>
                    </w:rPr>
                  </w:pPr>
                  <w:r w:rsidRPr="00DD493C">
                    <w:rPr>
                      <w:rFonts w:ascii="Calibri" w:hAnsi="Calibri"/>
                      <w:sz w:val="16"/>
                      <w:szCs w:val="16"/>
                      <w:lang w:val="es-ES"/>
                    </w:rPr>
                    <w:t xml:space="preserve">Producido por AgriLife </w:t>
                  </w:r>
                  <w:proofErr w:type="spellStart"/>
                  <w:r w:rsidRPr="00DD493C">
                    <w:rPr>
                      <w:rFonts w:ascii="Calibri" w:hAnsi="Calibri"/>
                      <w:sz w:val="16"/>
                      <w:szCs w:val="16"/>
                      <w:lang w:val="es-ES"/>
                    </w:rPr>
                    <w:t>Communications</w:t>
                  </w:r>
                  <w:proofErr w:type="spellEnd"/>
                </w:p>
                <w:p w:rsidR="009C73EE" w:rsidRDefault="009C73EE" w:rsidP="009C73EE">
                  <w:pPr>
                    <w:pStyle w:val="ListParagraph"/>
                    <w:ind w:left="-108"/>
                    <w:rPr>
                      <w:rFonts w:ascii="Calibri" w:hAnsi="Calibri"/>
                      <w:sz w:val="16"/>
                      <w:szCs w:val="16"/>
                      <w:lang w:val="es-ES"/>
                    </w:rPr>
                  </w:pPr>
                  <w:r w:rsidRPr="00DD493C">
                    <w:rPr>
                      <w:rFonts w:ascii="Calibri" w:hAnsi="Calibri"/>
                      <w:sz w:val="16"/>
                      <w:szCs w:val="16"/>
                      <w:lang w:val="es-ES"/>
                    </w:rPr>
                    <w:t>Sistema Universitario A&amp;M de Texas</w:t>
                  </w:r>
                </w:p>
              </w:tc>
              <w:tc>
                <w:tcPr>
                  <w:tcW w:w="1345" w:type="dxa"/>
                </w:tcPr>
                <w:p w:rsidR="009C73EE" w:rsidRDefault="009C73EE" w:rsidP="006F7454">
                  <w:pPr>
                    <w:pStyle w:val="ListParagraph"/>
                    <w:ind w:left="0"/>
                    <w:rPr>
                      <w:rFonts w:ascii="Calibri" w:hAnsi="Calibri"/>
                      <w:sz w:val="16"/>
                      <w:szCs w:val="16"/>
                      <w:lang w:val="es-ES"/>
                    </w:rPr>
                  </w:pPr>
                  <w:r w:rsidRPr="00DD493C">
                    <w:rPr>
                      <w:rFonts w:ascii="Calibri" w:hAnsi="Calibri"/>
                      <w:sz w:val="16"/>
                      <w:szCs w:val="16"/>
                      <w:lang w:val="es-ES"/>
                    </w:rPr>
                    <w:t>Julio de 2010</w:t>
                  </w:r>
                </w:p>
              </w:tc>
              <w:tc>
                <w:tcPr>
                  <w:tcW w:w="3150" w:type="dxa"/>
                </w:tcPr>
                <w:p w:rsidR="009C73EE" w:rsidRPr="00DD493C" w:rsidRDefault="009C73EE" w:rsidP="006F7454">
                  <w:pPr>
                    <w:pStyle w:val="ListParagraph"/>
                    <w:ind w:left="0"/>
                    <w:rPr>
                      <w:rFonts w:ascii="Calibri" w:hAnsi="Calibri"/>
                      <w:sz w:val="16"/>
                      <w:szCs w:val="16"/>
                      <w:lang w:val="es-ES"/>
                    </w:rPr>
                  </w:pPr>
                  <w:r w:rsidRPr="00DD493C">
                    <w:rPr>
                      <w:rFonts w:ascii="Calibri" w:hAnsi="Calibri"/>
                      <w:sz w:val="16"/>
                      <w:szCs w:val="16"/>
                      <w:lang w:val="es-ES"/>
                    </w:rPr>
                    <w:t>Josefa B. Peña, MPH, Especialista del Programa – Salud de los adultos</w:t>
                  </w:r>
                </w:p>
              </w:tc>
            </w:tr>
          </w:tbl>
          <w:p w:rsidR="009C73EE" w:rsidRDefault="009C73EE" w:rsidP="008228A2">
            <w:pPr>
              <w:pStyle w:val="ListParagraph"/>
              <w:shd w:val="clear" w:color="auto" w:fill="FFFFFF"/>
              <w:ind w:left="162"/>
              <w:rPr>
                <w:rFonts w:ascii="Calibri" w:hAnsi="Calibri"/>
                <w:sz w:val="16"/>
                <w:szCs w:val="16"/>
                <w:lang w:val="es-ES"/>
              </w:rPr>
            </w:pPr>
          </w:p>
          <w:p w:rsidR="00D62911" w:rsidRPr="00A3702A" w:rsidRDefault="00D62911" w:rsidP="00A3702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62911" w:rsidRPr="007B14C2" w:rsidRDefault="00D62911" w:rsidP="00D62911">
      <w:pPr>
        <w:rPr>
          <w:sz w:val="4"/>
          <w:szCs w:val="4"/>
        </w:rPr>
      </w:pPr>
    </w:p>
    <w:p w:rsidR="00D62911" w:rsidRPr="007B14C2" w:rsidRDefault="00F30C2D">
      <w:pPr>
        <w:rPr>
          <w:sz w:val="6"/>
          <w:szCs w:val="6"/>
        </w:rPr>
      </w:pPr>
      <w:r>
        <w:rPr>
          <w:noProof/>
          <w:snapToGrid/>
          <w:sz w:val="6"/>
          <w:szCs w:val="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9pt;margin-top:34pt;width:138.3pt;height:31.35pt;z-index:251663360" stroked="f">
            <v:textbox>
              <w:txbxContent>
                <w:p w:rsidR="00F30C2D" w:rsidRPr="004E2C37" w:rsidRDefault="00F30C2D" w:rsidP="00F30C2D">
                  <w:pPr>
                    <w:rPr>
                      <w:rFonts w:ascii="Calibri" w:hAnsi="Calibri"/>
                      <w:b/>
                      <w:color w:val="632423"/>
                      <w:sz w:val="28"/>
                    </w:rPr>
                  </w:pPr>
                  <w:r w:rsidRPr="004E2C37">
                    <w:rPr>
                      <w:rFonts w:ascii="Calibri" w:hAnsi="Calibri"/>
                      <w:b/>
                      <w:color w:val="632423"/>
                      <w:sz w:val="28"/>
                    </w:rPr>
                    <w:t>texashelp.tamu.edu</w:t>
                  </w:r>
                </w:p>
                <w:p w:rsidR="00F30C2D" w:rsidRDefault="00F30C2D"/>
              </w:txbxContent>
            </v:textbox>
          </v:shape>
        </w:pict>
      </w:r>
      <w:r>
        <w:rPr>
          <w:noProof/>
          <w:snapToGrid/>
          <w:sz w:val="6"/>
          <w:szCs w:val="6"/>
          <w:lang w:eastAsia="en-US"/>
        </w:rPr>
        <w:pict>
          <v:shape id="_x0000_s1031" type="#_x0000_t32" style="position:absolute;margin-left:132.6pt;margin-top:51.55pt;width:398.4pt;height:0;z-index:251662336" o:connectortype="straight" strokecolor="#a5a5a5" strokeweight="1.5pt"/>
        </w:pict>
      </w:r>
    </w:p>
    <w:sectPr w:rsidR="00D62911" w:rsidRPr="007B14C2" w:rsidSect="00D629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BD5" w:rsidRDefault="00FB0BD5" w:rsidP="00A3702A">
      <w:r>
        <w:separator/>
      </w:r>
    </w:p>
  </w:endnote>
  <w:endnote w:type="continuationSeparator" w:id="0">
    <w:p w:rsidR="00FB0BD5" w:rsidRDefault="00FB0BD5" w:rsidP="00A3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BD5" w:rsidRDefault="00FB0BD5" w:rsidP="00A3702A">
      <w:r>
        <w:separator/>
      </w:r>
    </w:p>
  </w:footnote>
  <w:footnote w:type="continuationSeparator" w:id="0">
    <w:p w:rsidR="00FB0BD5" w:rsidRDefault="00FB0BD5" w:rsidP="00A37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4C1814"/>
    <w:lvl w:ilvl="0">
      <w:numFmt w:val="bullet"/>
      <w:lvlText w:val="*"/>
      <w:lvlJc w:val="left"/>
    </w:lvl>
  </w:abstractNum>
  <w:abstractNum w:abstractNumId="1">
    <w:nsid w:val="0C90110E"/>
    <w:multiLevelType w:val="hybridMultilevel"/>
    <w:tmpl w:val="D00261BE"/>
    <w:lvl w:ilvl="0" w:tplc="0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2">
    <w:nsid w:val="108A3F7C"/>
    <w:multiLevelType w:val="hybridMultilevel"/>
    <w:tmpl w:val="614E420C"/>
    <w:lvl w:ilvl="0" w:tplc="086C7A6C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">
    <w:nsid w:val="3EC9776C"/>
    <w:multiLevelType w:val="hybridMultilevel"/>
    <w:tmpl w:val="77323462"/>
    <w:lvl w:ilvl="0" w:tplc="F6F017C4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67666FFA"/>
    <w:multiLevelType w:val="hybridMultilevel"/>
    <w:tmpl w:val="3170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2911"/>
    <w:rsid w:val="00011411"/>
    <w:rsid w:val="00013D86"/>
    <w:rsid w:val="0002244C"/>
    <w:rsid w:val="00026541"/>
    <w:rsid w:val="00034048"/>
    <w:rsid w:val="0003417C"/>
    <w:rsid w:val="00073C29"/>
    <w:rsid w:val="000805AB"/>
    <w:rsid w:val="00081E97"/>
    <w:rsid w:val="000A5106"/>
    <w:rsid w:val="000C55BD"/>
    <w:rsid w:val="000D7C12"/>
    <w:rsid w:val="000E73B9"/>
    <w:rsid w:val="000F5492"/>
    <w:rsid w:val="001113DB"/>
    <w:rsid w:val="001518B4"/>
    <w:rsid w:val="00153A9B"/>
    <w:rsid w:val="00155C60"/>
    <w:rsid w:val="0016547C"/>
    <w:rsid w:val="00171AF8"/>
    <w:rsid w:val="001A3357"/>
    <w:rsid w:val="001B2191"/>
    <w:rsid w:val="001B2AFA"/>
    <w:rsid w:val="001B4773"/>
    <w:rsid w:val="001C0745"/>
    <w:rsid w:val="001C40CB"/>
    <w:rsid w:val="001E7AEC"/>
    <w:rsid w:val="001F5CE3"/>
    <w:rsid w:val="0020395B"/>
    <w:rsid w:val="0020589A"/>
    <w:rsid w:val="002138D8"/>
    <w:rsid w:val="00225B6F"/>
    <w:rsid w:val="002500D1"/>
    <w:rsid w:val="00256001"/>
    <w:rsid w:val="00260FDB"/>
    <w:rsid w:val="00274428"/>
    <w:rsid w:val="002921CD"/>
    <w:rsid w:val="00294771"/>
    <w:rsid w:val="002A5E0F"/>
    <w:rsid w:val="002B457A"/>
    <w:rsid w:val="002B6BD9"/>
    <w:rsid w:val="002D2B4E"/>
    <w:rsid w:val="002D7218"/>
    <w:rsid w:val="002F16C5"/>
    <w:rsid w:val="00341CB0"/>
    <w:rsid w:val="00342CB4"/>
    <w:rsid w:val="0035695D"/>
    <w:rsid w:val="00356A53"/>
    <w:rsid w:val="003664EE"/>
    <w:rsid w:val="00367C43"/>
    <w:rsid w:val="003828C2"/>
    <w:rsid w:val="00392FC6"/>
    <w:rsid w:val="003B2E0C"/>
    <w:rsid w:val="003D045A"/>
    <w:rsid w:val="003E5E5F"/>
    <w:rsid w:val="00403ED2"/>
    <w:rsid w:val="00423715"/>
    <w:rsid w:val="00425E44"/>
    <w:rsid w:val="00457944"/>
    <w:rsid w:val="00491673"/>
    <w:rsid w:val="004C0F09"/>
    <w:rsid w:val="004E6609"/>
    <w:rsid w:val="004F61C6"/>
    <w:rsid w:val="004F7ABE"/>
    <w:rsid w:val="00523290"/>
    <w:rsid w:val="005304FF"/>
    <w:rsid w:val="005354F9"/>
    <w:rsid w:val="005375DC"/>
    <w:rsid w:val="00542E4C"/>
    <w:rsid w:val="00566362"/>
    <w:rsid w:val="005715C9"/>
    <w:rsid w:val="0057375C"/>
    <w:rsid w:val="00584244"/>
    <w:rsid w:val="00592713"/>
    <w:rsid w:val="005B5725"/>
    <w:rsid w:val="005D0FC6"/>
    <w:rsid w:val="005D1EBB"/>
    <w:rsid w:val="005E6DC3"/>
    <w:rsid w:val="00606850"/>
    <w:rsid w:val="00614909"/>
    <w:rsid w:val="00617806"/>
    <w:rsid w:val="00634C6C"/>
    <w:rsid w:val="00635F3D"/>
    <w:rsid w:val="006365A6"/>
    <w:rsid w:val="00653C7A"/>
    <w:rsid w:val="00690594"/>
    <w:rsid w:val="00694550"/>
    <w:rsid w:val="006A2D1E"/>
    <w:rsid w:val="006A610B"/>
    <w:rsid w:val="006B4DEC"/>
    <w:rsid w:val="006D0EA6"/>
    <w:rsid w:val="006E2C65"/>
    <w:rsid w:val="006F5CD7"/>
    <w:rsid w:val="007061A9"/>
    <w:rsid w:val="0070662B"/>
    <w:rsid w:val="0071519E"/>
    <w:rsid w:val="00746259"/>
    <w:rsid w:val="00753655"/>
    <w:rsid w:val="00760D0C"/>
    <w:rsid w:val="0076568F"/>
    <w:rsid w:val="00771FE1"/>
    <w:rsid w:val="007927F2"/>
    <w:rsid w:val="007B0E15"/>
    <w:rsid w:val="007B14C2"/>
    <w:rsid w:val="007B75DB"/>
    <w:rsid w:val="007D5F56"/>
    <w:rsid w:val="007E64FA"/>
    <w:rsid w:val="008228A2"/>
    <w:rsid w:val="00827B95"/>
    <w:rsid w:val="008462C8"/>
    <w:rsid w:val="00881B2B"/>
    <w:rsid w:val="00895296"/>
    <w:rsid w:val="008D40FE"/>
    <w:rsid w:val="008D70AF"/>
    <w:rsid w:val="008F67B7"/>
    <w:rsid w:val="009112B2"/>
    <w:rsid w:val="00916F36"/>
    <w:rsid w:val="00925F32"/>
    <w:rsid w:val="00926B00"/>
    <w:rsid w:val="009324A9"/>
    <w:rsid w:val="009332B3"/>
    <w:rsid w:val="009439F2"/>
    <w:rsid w:val="00946707"/>
    <w:rsid w:val="00960BCA"/>
    <w:rsid w:val="00961E61"/>
    <w:rsid w:val="009659D8"/>
    <w:rsid w:val="0098681C"/>
    <w:rsid w:val="00987B0E"/>
    <w:rsid w:val="009B2B5C"/>
    <w:rsid w:val="009C24A4"/>
    <w:rsid w:val="009C73EE"/>
    <w:rsid w:val="009E45EB"/>
    <w:rsid w:val="00A05B8B"/>
    <w:rsid w:val="00A230C7"/>
    <w:rsid w:val="00A31000"/>
    <w:rsid w:val="00A3702A"/>
    <w:rsid w:val="00A55DA5"/>
    <w:rsid w:val="00A564ED"/>
    <w:rsid w:val="00A61F6E"/>
    <w:rsid w:val="00A67C2A"/>
    <w:rsid w:val="00A82CF7"/>
    <w:rsid w:val="00A93573"/>
    <w:rsid w:val="00A96046"/>
    <w:rsid w:val="00AB4F91"/>
    <w:rsid w:val="00AB54E7"/>
    <w:rsid w:val="00AD422B"/>
    <w:rsid w:val="00AD5B3D"/>
    <w:rsid w:val="00AF081C"/>
    <w:rsid w:val="00AF5202"/>
    <w:rsid w:val="00B02022"/>
    <w:rsid w:val="00B02BDF"/>
    <w:rsid w:val="00B630C1"/>
    <w:rsid w:val="00B77EE8"/>
    <w:rsid w:val="00BA1898"/>
    <w:rsid w:val="00BA2410"/>
    <w:rsid w:val="00BD2C3D"/>
    <w:rsid w:val="00BD5915"/>
    <w:rsid w:val="00BD6997"/>
    <w:rsid w:val="00BF6072"/>
    <w:rsid w:val="00C05E1A"/>
    <w:rsid w:val="00C10898"/>
    <w:rsid w:val="00C2302D"/>
    <w:rsid w:val="00C23037"/>
    <w:rsid w:val="00C26EFC"/>
    <w:rsid w:val="00C27EFD"/>
    <w:rsid w:val="00C52F6B"/>
    <w:rsid w:val="00C80D66"/>
    <w:rsid w:val="00CC14D1"/>
    <w:rsid w:val="00CC34DD"/>
    <w:rsid w:val="00CD019D"/>
    <w:rsid w:val="00CD4905"/>
    <w:rsid w:val="00CE144C"/>
    <w:rsid w:val="00D00624"/>
    <w:rsid w:val="00D07F4B"/>
    <w:rsid w:val="00D165F7"/>
    <w:rsid w:val="00D27DDF"/>
    <w:rsid w:val="00D40379"/>
    <w:rsid w:val="00D41566"/>
    <w:rsid w:val="00D428D8"/>
    <w:rsid w:val="00D5255B"/>
    <w:rsid w:val="00D62911"/>
    <w:rsid w:val="00D679BD"/>
    <w:rsid w:val="00D75C82"/>
    <w:rsid w:val="00DA055C"/>
    <w:rsid w:val="00E17E31"/>
    <w:rsid w:val="00E467AD"/>
    <w:rsid w:val="00E65B3C"/>
    <w:rsid w:val="00E72FF1"/>
    <w:rsid w:val="00E875BB"/>
    <w:rsid w:val="00F0129B"/>
    <w:rsid w:val="00F1006F"/>
    <w:rsid w:val="00F12FAF"/>
    <w:rsid w:val="00F14486"/>
    <w:rsid w:val="00F14BBC"/>
    <w:rsid w:val="00F23227"/>
    <w:rsid w:val="00F30C2D"/>
    <w:rsid w:val="00F33C44"/>
    <w:rsid w:val="00F6036A"/>
    <w:rsid w:val="00F6696B"/>
    <w:rsid w:val="00F779AD"/>
    <w:rsid w:val="00F84D0C"/>
    <w:rsid w:val="00FA5DE8"/>
    <w:rsid w:val="00FB0988"/>
    <w:rsid w:val="00FB0BD5"/>
    <w:rsid w:val="00FD174E"/>
    <w:rsid w:val="00FD57A8"/>
    <w:rsid w:val="00FF4C6D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9"/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909"/>
    <w:pPr>
      <w:widowControl w:val="0"/>
      <w:autoSpaceDE w:val="0"/>
      <w:autoSpaceDN w:val="0"/>
      <w:adjustRightInd w:val="0"/>
    </w:pPr>
    <w:rPr>
      <w:rFonts w:ascii="Times New Roman" w:hAnsi="Times New Roman"/>
      <w:snapToGrid w:val="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mezer">
    <w:name w:val="Bez mezer"/>
    <w:link w:val="BalloonTextChar"/>
    <w:uiPriority w:val="1"/>
    <w:qFormat/>
    <w:rsid w:val="0061490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napToGrid w:val="0"/>
      <w:lang w:val="cs-CZ" w:eastAsia="cs-CZ"/>
    </w:rPr>
  </w:style>
  <w:style w:type="character" w:customStyle="1" w:styleId="BalloonTextChar">
    <w:name w:val="Balloon Text Char"/>
    <w:basedOn w:val="DefaultParagraphFont"/>
    <w:link w:val="Bezmezer"/>
    <w:uiPriority w:val="1"/>
    <w:locked/>
    <w:rsid w:val="00614909"/>
    <w:rPr>
      <w:rFonts w:ascii="Times New Roman" w:hAnsi="Times New Roman" w:cs="Times New Roman"/>
      <w:snapToGrid w:val="0"/>
      <w:lang w:val="cs-CZ" w:eastAsia="cs-CZ"/>
    </w:rPr>
  </w:style>
  <w:style w:type="table" w:styleId="TableGrid">
    <w:name w:val="Table Grid"/>
    <w:basedOn w:val="TableNormal"/>
    <w:uiPriority w:val="59"/>
    <w:rsid w:val="00D62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D6291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62911"/>
    <w:rPr>
      <w:rFonts w:ascii="Tahoma" w:hAnsi="Tahoma" w:cs="Tahoma"/>
      <w:snapToGrid w:val="0"/>
      <w:sz w:val="16"/>
      <w:szCs w:val="16"/>
      <w:lang w:eastAsia="cs-CZ"/>
    </w:rPr>
  </w:style>
  <w:style w:type="paragraph" w:styleId="ListParagraph">
    <w:name w:val="List Paragraph"/>
    <w:basedOn w:val="Normal"/>
    <w:uiPriority w:val="99"/>
    <w:qFormat/>
    <w:rsid w:val="00D629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70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702A"/>
    <w:rPr>
      <w:rFonts w:ascii="Times New Roman" w:hAnsi="Times New Roman"/>
      <w:snapToGrid w:val="0"/>
      <w:lang w:eastAsia="cs-CZ"/>
    </w:rPr>
  </w:style>
  <w:style w:type="paragraph" w:styleId="Footer">
    <w:name w:val="footer"/>
    <w:basedOn w:val="Normal"/>
    <w:link w:val="FooterChar"/>
    <w:uiPriority w:val="99"/>
    <w:semiHidden/>
    <w:unhideWhenUsed/>
    <w:rsid w:val="00A370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702A"/>
    <w:rPr>
      <w:rFonts w:ascii="Times New Roman" w:hAnsi="Times New Roman"/>
      <w:snapToGrid w:val="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transcommon</dc:creator>
  <cp:lastModifiedBy>Administrator</cp:lastModifiedBy>
  <cp:revision>12</cp:revision>
  <dcterms:created xsi:type="dcterms:W3CDTF">2011-06-30T05:14:00Z</dcterms:created>
  <dcterms:modified xsi:type="dcterms:W3CDTF">2011-07-07T21:43:00Z</dcterms:modified>
</cp:coreProperties>
</file>